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D6" w:rsidRDefault="00DE5AD6" w:rsidP="00DE5AD6">
      <w:pPr>
        <w:rPr>
          <w:rFonts w:eastAsia="Times New Roman"/>
          <w:color w:val="000000"/>
        </w:rPr>
      </w:pPr>
      <w:r w:rsidRPr="00EE2AB0">
        <w:rPr>
          <w:rFonts w:eastAsia="Times New Roman"/>
          <w:color w:val="000000"/>
        </w:rPr>
        <w:t>Equivalent fractions using a visual mode</w:t>
      </w:r>
      <w:r>
        <w:rPr>
          <w:rFonts w:eastAsia="Times New Roman"/>
          <w:color w:val="000000"/>
        </w:rPr>
        <w:t>l. Explain how we know that 18/15 = 6/5</w:t>
      </w:r>
      <w:r w:rsidRPr="00EE2AB0">
        <w:rPr>
          <w:rFonts w:eastAsia="Times New Roman"/>
          <w:color w:val="000000"/>
        </w:rPr>
        <w:t>.</w:t>
      </w:r>
    </w:p>
    <w:p w:rsidR="00DE5AD6" w:rsidRDefault="00DE5AD6" w:rsidP="00DE5AD6">
      <w:pPr>
        <w:rPr>
          <w:rFonts w:eastAsia="Times New Roman"/>
          <w:color w:val="000000"/>
        </w:rPr>
      </w:pPr>
    </w:p>
    <w:p w:rsidR="00DE5AD6" w:rsidRPr="00CC7AE4" w:rsidRDefault="00DE5AD6" w:rsidP="00DE5AD6">
      <w:pPr>
        <w:pStyle w:val="ListParagraph"/>
        <w:numPr>
          <w:ilvl w:val="0"/>
          <w:numId w:val="2"/>
        </w:numPr>
        <w:rPr>
          <w:rFonts w:eastAsia="Times New Roman"/>
          <w:i/>
          <w:color w:val="000000"/>
        </w:rPr>
      </w:pPr>
      <w:r w:rsidRPr="00CC7AE4">
        <w:rPr>
          <w:rFonts w:eastAsia="Times New Roman"/>
          <w:i/>
          <w:color w:val="000000"/>
        </w:rPr>
        <w:t>I’ve been convinced that we should talk about equivalent fractions also from a scaling model, but that’s a less concrete model, and I want to make sure that you understand the more concrete model first.</w:t>
      </w:r>
    </w:p>
    <w:p w:rsidR="00DE5AD6" w:rsidRPr="00CC7AE4" w:rsidRDefault="00DE5AD6" w:rsidP="00DE5AD6">
      <w:pPr>
        <w:pStyle w:val="ListParagraph"/>
        <w:numPr>
          <w:ilvl w:val="0"/>
          <w:numId w:val="2"/>
        </w:numPr>
        <w:rPr>
          <w:rFonts w:eastAsia="Times New Roman"/>
          <w:i/>
          <w:color w:val="000000"/>
        </w:rPr>
      </w:pPr>
      <w:r w:rsidRPr="00CC7AE4">
        <w:rPr>
          <w:rFonts w:eastAsia="Times New Roman"/>
          <w:i/>
          <w:color w:val="000000"/>
        </w:rPr>
        <w:t>I’m going to show 3 models: line, square and grid paper.  Circle/manipulative models are good choices too, but they rarely get as small as fifteenths.</w:t>
      </w:r>
    </w:p>
    <w:p w:rsidR="00DE5AD6" w:rsidRPr="00CC7AE4" w:rsidRDefault="00DE5AD6" w:rsidP="00CC7AE4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CC7AE4">
        <w:rPr>
          <w:rFonts w:eastAsia="Times New Roman"/>
          <w:i/>
          <w:color w:val="000000"/>
        </w:rPr>
        <w:t>It’s easier to explain multiplication than division, so I’m going to do this first by starting with 6/5.  If it doesn’t take too long, I’ll then go on to show how you could explain it the other way.</w:t>
      </w:r>
    </w:p>
    <w:p w:rsidR="00DE5AD6" w:rsidRDefault="00DE5AD6" w:rsidP="00DE5AD6">
      <w:pPr>
        <w:rPr>
          <w:rFonts w:eastAsia="Times New Roman"/>
          <w:color w:val="000000"/>
        </w:rPr>
      </w:pPr>
    </w:p>
    <w:p w:rsidR="00DE5AD6" w:rsidRDefault="00FE2ECA" w:rsidP="00DE5AD6">
      <w:pPr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Begin by showing what you will use to represent 1whole:</w:t>
      </w:r>
    </w:p>
    <w:p w:rsidR="00FE2ECA" w:rsidRDefault="00FE2ECA" w:rsidP="00DE5AD6">
      <w:pPr>
        <w:rPr>
          <w:rFonts w:eastAsia="Times New Roman"/>
          <w:i/>
          <w:color w:val="000000"/>
        </w:rPr>
      </w:pPr>
      <w:r w:rsidRPr="00FE2ECA">
        <w:rPr>
          <w:rFonts w:eastAsia="Times New Roman"/>
          <w:i/>
          <w:color w:val="000000"/>
        </w:rPr>
        <w:drawing>
          <wp:inline distT="0" distB="0" distL="0" distR="0" wp14:anchorId="57879B61" wp14:editId="0C3E3E84">
            <wp:extent cx="4339087" cy="166053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6114" cy="167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CCD" w:rsidRDefault="00FE2ECA" w:rsidP="00DE5AD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Partition a whole into 5 equal parts, to show</w:t>
      </w:r>
      <w:r w:rsidR="00F01CCD">
        <w:rPr>
          <w:rFonts w:eastAsia="Times New Roman"/>
          <w:color w:val="000000"/>
        </w:rPr>
        <w:t xml:space="preserve"> the size of</w:t>
      </w:r>
      <w:r>
        <w:rPr>
          <w:rFonts w:eastAsia="Times New Roman"/>
          <w:color w:val="000000"/>
        </w:rPr>
        <w:t xml:space="preserve"> 1/5</w:t>
      </w:r>
      <w:r w:rsidR="000A3D97">
        <w:rPr>
          <w:rFonts w:eastAsia="Times New Roman"/>
          <w:color w:val="000000"/>
        </w:rPr>
        <w:t xml:space="preserve">.  </w:t>
      </w:r>
    </w:p>
    <w:p w:rsidR="00F01CCD" w:rsidRPr="001B0CB2" w:rsidRDefault="00F01CCD" w:rsidP="00DE5AD6">
      <w:pPr>
        <w:rPr>
          <w:rFonts w:eastAsia="Times New Roman"/>
          <w:i/>
          <w:color w:val="000000"/>
        </w:rPr>
      </w:pPr>
      <w:r>
        <w:rPr>
          <w:rFonts w:eastAsia="Times New Roman"/>
          <w:color w:val="000000"/>
        </w:rPr>
        <w:t>Add another 1/5 to the diagram, and use it to show 6/</w:t>
      </w:r>
      <w:r w:rsidRPr="001B0CB2">
        <w:rPr>
          <w:rFonts w:eastAsia="Times New Roman"/>
          <w:color w:val="000000"/>
        </w:rPr>
        <w:t>5</w:t>
      </w:r>
      <w:r w:rsidRPr="001B0CB2">
        <w:rPr>
          <w:rFonts w:eastAsia="Times New Roman"/>
          <w:i/>
          <w:color w:val="000000"/>
        </w:rPr>
        <w:t xml:space="preserve"> (extending to a full second unit is optional)</w:t>
      </w:r>
    </w:p>
    <w:p w:rsidR="00F01CCD" w:rsidRDefault="00F01CCD" w:rsidP="00DE5AD6">
      <w:pPr>
        <w:rPr>
          <w:rFonts w:eastAsia="Times New Roman"/>
          <w:color w:val="000000"/>
        </w:rPr>
      </w:pPr>
      <w:r w:rsidRPr="00F01CCD">
        <w:rPr>
          <w:rFonts w:eastAsia="Times New Roman"/>
          <w:color w:val="000000"/>
        </w:rPr>
        <w:drawing>
          <wp:inline distT="0" distB="0" distL="0" distR="0" wp14:anchorId="5AA2BC1D" wp14:editId="2C0C5977">
            <wp:extent cx="5943600" cy="1772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E4" w:rsidRDefault="00CC7AE4" w:rsidP="00DE5AD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shaded part shows 6/5 because there are 5 parts in a whole (in the rectangular/square models, these are the 5 columns), and the shaded part has 6 of the 1/5 parts.</w:t>
      </w:r>
    </w:p>
    <w:p w:rsidR="00CC7AE4" w:rsidRDefault="00CC7AE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:rsidR="0064620F" w:rsidRDefault="007A7023" w:rsidP="00DE5AD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Partition each fifth into the same number of equal parts.  5 × 3=15, so if you split each of 5 parts into 3, you will get 15 parts which are fifteenths.</w:t>
      </w:r>
    </w:p>
    <w:p w:rsidR="007A7023" w:rsidRDefault="007A7023" w:rsidP="00DE5AD6">
      <w:pPr>
        <w:rPr>
          <w:rFonts w:eastAsia="Times New Roman"/>
          <w:color w:val="000000"/>
        </w:rPr>
      </w:pPr>
    </w:p>
    <w:p w:rsidR="00FE2ECA" w:rsidRDefault="00AB5AE5" w:rsidP="00DE5AD6">
      <w:pPr>
        <w:rPr>
          <w:rFonts w:eastAsia="Times New Roman"/>
          <w:color w:val="000000"/>
        </w:rPr>
      </w:pPr>
      <w:r w:rsidRPr="00AB5AE5">
        <w:rPr>
          <w:rFonts w:eastAsia="Times New Roman"/>
          <w:color w:val="000000"/>
        </w:rPr>
        <w:drawing>
          <wp:inline distT="0" distB="0" distL="0" distR="0" wp14:anchorId="2CC37C6B" wp14:editId="249FC820">
            <wp:extent cx="5943600" cy="17106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C66" w:rsidRDefault="00D35C66" w:rsidP="00DE5AD6">
      <w:pPr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Note, you don’t have to redraw all of the steps—it’s OK to add onto your first diagram so that all I see is the finished version.</w:t>
      </w:r>
    </w:p>
    <w:p w:rsidR="00D35C66" w:rsidRDefault="00D35C66" w:rsidP="00DE5AD6">
      <w:pPr>
        <w:rPr>
          <w:rFonts w:eastAsia="Times New Roman"/>
          <w:i/>
          <w:color w:val="000000"/>
        </w:rPr>
      </w:pPr>
    </w:p>
    <w:p w:rsidR="00D35C66" w:rsidRDefault="00D35C66" w:rsidP="00D35C66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This is the complete</w:t>
      </w:r>
      <w:r w:rsidRPr="00EE2AB0">
        <w:rPr>
          <w:rFonts w:eastAsia="Times New Roman"/>
          <w:color w:val="000000"/>
        </w:rPr>
        <w:t xml:space="preserve"> visual model.</w:t>
      </w:r>
    </w:p>
    <w:p w:rsidR="00CC7AE4" w:rsidRDefault="00CC7AE4" w:rsidP="00D35C66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visual model shows that the fractions are equivalent by showing that they are two names </w:t>
      </w:r>
      <w:r w:rsidRPr="00EE2AB0">
        <w:rPr>
          <w:rFonts w:eastAsia="Times New Roman"/>
          <w:color w:val="000000"/>
        </w:rPr>
        <w:t xml:space="preserve">for the same amount by </w:t>
      </w:r>
      <w:r>
        <w:rPr>
          <w:rFonts w:eastAsia="Times New Roman"/>
          <w:color w:val="000000"/>
        </w:rPr>
        <w:t>regrouping (splitting)</w:t>
      </w:r>
      <w:r w:rsidRPr="00EE2AB0">
        <w:rPr>
          <w:rFonts w:eastAsia="Times New Roman"/>
          <w:color w:val="000000"/>
        </w:rPr>
        <w:t xml:space="preserve"> within the same picture</w:t>
      </w:r>
      <w:r>
        <w:rPr>
          <w:rFonts w:eastAsia="Times New Roman"/>
          <w:color w:val="000000"/>
        </w:rPr>
        <w:t>. The line model also shows that the fractions are two different names for the same point on the number line.</w:t>
      </w:r>
    </w:p>
    <w:p w:rsidR="00D35C66" w:rsidRDefault="00D35C66" w:rsidP="00D35C66">
      <w:pPr>
        <w:rPr>
          <w:rFonts w:eastAsia="Times New Roman"/>
          <w:color w:val="000000"/>
        </w:rPr>
      </w:pPr>
    </w:p>
    <w:p w:rsidR="00AB5AE5" w:rsidRDefault="00CC7AE4" w:rsidP="00D35C6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If you look at the whole now with the smaller partitions, you’ll see that the 5 parts in a whole were each split into 3 parts, so there are 3 × 5 = 15 parts in a whole, and each of these small parts are fifteenths.</w:t>
      </w:r>
    </w:p>
    <w:p w:rsidR="00CC7AE4" w:rsidRDefault="00CC7AE4" w:rsidP="00D35C66">
      <w:pPr>
        <w:rPr>
          <w:rFonts w:eastAsia="Times New Roman"/>
          <w:color w:val="000000"/>
        </w:rPr>
      </w:pPr>
    </w:p>
    <w:p w:rsidR="00CC7AE4" w:rsidRDefault="00CC7AE4" w:rsidP="00D35C6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shaded area was made of 6 larger 1/5 sized parts, and when each of those 6 were split into 3 smaller parts, that made 3 × 6 = 18 smaller parts in the shaded region.</w:t>
      </w:r>
    </w:p>
    <w:p w:rsidR="002D4821" w:rsidRDefault="002D4821" w:rsidP="00D35C66">
      <w:pPr>
        <w:rPr>
          <w:rFonts w:eastAsia="Times New Roman"/>
          <w:color w:val="000000"/>
        </w:rPr>
      </w:pPr>
    </w:p>
    <w:p w:rsidR="002D4821" w:rsidRDefault="002D4821" w:rsidP="00D35C6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When we do this, we’re multiplying the numerator and denominator of 6/5 by 3 to get the new name of the </w:t>
      </w:r>
      <w:proofErr w:type="gramStart"/>
      <w:r>
        <w:rPr>
          <w:rFonts w:eastAsia="Times New Roman"/>
          <w:color w:val="000000"/>
        </w:rPr>
        <w:t>fraction.:</w:t>
      </w:r>
      <w:proofErr w:type="gramEnd"/>
    </w:p>
    <w:p w:rsidR="002D4821" w:rsidRDefault="002D4821" w:rsidP="00D35C66">
      <w:pPr>
        <w:rPr>
          <w:rFonts w:eastAsia="Times New Roman"/>
          <w:color w:val="000000"/>
        </w:rPr>
      </w:pPr>
      <w:r w:rsidRPr="002D4821">
        <w:rPr>
          <w:rFonts w:eastAsia="Times New Roman"/>
          <w:color w:val="000000"/>
          <w:position w:val="-24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0.75pt" o:ole="">
            <v:imagedata r:id="rId8" o:title=""/>
          </v:shape>
          <o:OLEObject Type="Embed" ProgID="Equation.DSMT4" ShapeID="_x0000_i1025" DrawAspect="Content" ObjectID="_1486129226" r:id="rId9"/>
        </w:object>
      </w:r>
      <w:r>
        <w:rPr>
          <w:rFonts w:eastAsia="Times New Roman"/>
          <w:color w:val="000000"/>
        </w:rPr>
        <w:t xml:space="preserve"> </w:t>
      </w:r>
    </w:p>
    <w:p w:rsidR="002D4821" w:rsidRDefault="002D4821" w:rsidP="00D35C66">
      <w:pPr>
        <w:rPr>
          <w:rFonts w:eastAsia="Times New Roman"/>
          <w:color w:val="000000"/>
        </w:rPr>
      </w:pPr>
    </w:p>
    <w:p w:rsidR="00CC7AE4" w:rsidRDefault="002D4821" w:rsidP="007A2F4C">
      <w:pPr>
        <w:numPr>
          <w:ilvl w:val="0"/>
          <w:numId w:val="1"/>
        </w:numPr>
        <w:rPr>
          <w:rFonts w:eastAsia="Times New Roman"/>
          <w:color w:val="000000"/>
        </w:rPr>
      </w:pPr>
      <w:r w:rsidRPr="002D4821">
        <w:rPr>
          <w:rFonts w:eastAsia="Times New Roman"/>
          <w:color w:val="000000"/>
        </w:rPr>
        <w:t xml:space="preserve">This satisfies: </w:t>
      </w:r>
      <w:r w:rsidRPr="00EE2AB0">
        <w:rPr>
          <w:rFonts w:eastAsia="Times New Roman"/>
          <w:color w:val="000000"/>
        </w:rPr>
        <w:t>An accompanying numerical strategy should be shown (</w:t>
      </w:r>
      <w:proofErr w:type="gramStart"/>
      <w:r w:rsidRPr="00EE2AB0">
        <w:rPr>
          <w:rFonts w:eastAsia="Times New Roman"/>
          <w:color w:val="000000"/>
        </w:rPr>
        <w:t>either multiplying numerator and</w:t>
      </w:r>
      <w:proofErr w:type="gramEnd"/>
      <w:r w:rsidRPr="00EE2AB0">
        <w:rPr>
          <w:rFonts w:eastAsia="Times New Roman"/>
          <w:color w:val="000000"/>
        </w:rPr>
        <w:t xml:space="preserve"> denominator by the same number of dividing numerator and denominator by the same number).</w:t>
      </w:r>
      <w:r w:rsidRPr="002D4821">
        <w:rPr>
          <w:rFonts w:eastAsia="Times New Roman"/>
          <w:color w:val="000000"/>
        </w:rPr>
        <w:t xml:space="preserve"> </w:t>
      </w:r>
    </w:p>
    <w:p w:rsidR="002D4821" w:rsidRPr="00EE2AB0" w:rsidRDefault="002D4821" w:rsidP="002D4821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It also satisfies: </w:t>
      </w:r>
      <w:r w:rsidRPr="00EE2AB0">
        <w:rPr>
          <w:rFonts w:eastAsia="Times New Roman"/>
          <w:color w:val="000000"/>
        </w:rPr>
        <w:t xml:space="preserve">There should be an in-words explanation of how to see the numerical strategy in the visual model (should be </w:t>
      </w:r>
      <w:proofErr w:type="spellStart"/>
      <w:r w:rsidRPr="00EE2AB0">
        <w:rPr>
          <w:rFonts w:eastAsia="Times New Roman"/>
          <w:color w:val="000000"/>
        </w:rPr>
        <w:t>explaned</w:t>
      </w:r>
      <w:proofErr w:type="spellEnd"/>
      <w:r w:rsidRPr="00EE2AB0">
        <w:rPr>
          <w:rFonts w:eastAsia="Times New Roman"/>
          <w:color w:val="000000"/>
        </w:rPr>
        <w:t xml:space="preserve"> in terms of why it is multiplication or why it is division, which goes beyond demonstrating that the numerical answers are the same).</w:t>
      </w:r>
    </w:p>
    <w:p w:rsidR="002D4821" w:rsidRPr="002D4821" w:rsidRDefault="002D4821" w:rsidP="002D4821">
      <w:pPr>
        <w:rPr>
          <w:rFonts w:eastAsia="Times New Roman"/>
          <w:color w:val="000000"/>
        </w:rPr>
      </w:pPr>
    </w:p>
    <w:p w:rsidR="00CC7AE4" w:rsidRDefault="00CC7AE4" w:rsidP="00D35C6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Our shaded region has two names: 6/5 (when we look at the larger pieces) and 18/15 (when we look at the smaller pieces).  Both of these names describe the same amount (the size that’s shaded didn’t change), so those fractions are equal.</w:t>
      </w:r>
    </w:p>
    <w:p w:rsidR="00CC7AE4" w:rsidRPr="00EE2AB0" w:rsidRDefault="00CC7AE4" w:rsidP="00D35C66">
      <w:pPr>
        <w:rPr>
          <w:rFonts w:eastAsia="Times New Roman"/>
          <w:color w:val="000000"/>
        </w:rPr>
      </w:pPr>
    </w:p>
    <w:p w:rsidR="002D4821" w:rsidRPr="00EE2AB0" w:rsidRDefault="002D4821" w:rsidP="002D4821">
      <w:pPr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satisfies: </w:t>
      </w:r>
      <w:r w:rsidRPr="00EE2AB0">
        <w:rPr>
          <w:rFonts w:eastAsia="Times New Roman"/>
          <w:color w:val="000000"/>
        </w:rPr>
        <w:t>There should be an in-words explanation of the equivalence in words (using one of the above reasons)</w:t>
      </w:r>
    </w:p>
    <w:p w:rsidR="00D35C66" w:rsidRDefault="00D35C66" w:rsidP="00DE5AD6">
      <w:pPr>
        <w:rPr>
          <w:rFonts w:eastAsia="Times New Roman"/>
          <w:color w:val="000000"/>
        </w:rPr>
      </w:pPr>
    </w:p>
    <w:p w:rsidR="000A3D97" w:rsidRPr="000A3D97" w:rsidRDefault="000A3D97" w:rsidP="00DE5AD6">
      <w:pPr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I’m running out of time here, so I’m not going to explain the other direction in this document.</w:t>
      </w:r>
      <w:bookmarkStart w:id="0" w:name="_GoBack"/>
      <w:bookmarkEnd w:id="0"/>
    </w:p>
    <w:sectPr w:rsidR="000A3D97" w:rsidRPr="000A3D97" w:rsidSect="00CC7AE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8148A"/>
    <w:multiLevelType w:val="multilevel"/>
    <w:tmpl w:val="70E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D7066"/>
    <w:multiLevelType w:val="hybridMultilevel"/>
    <w:tmpl w:val="A33A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D6"/>
    <w:rsid w:val="000242BB"/>
    <w:rsid w:val="000A3D97"/>
    <w:rsid w:val="001A2436"/>
    <w:rsid w:val="001B0CB2"/>
    <w:rsid w:val="002D4821"/>
    <w:rsid w:val="003A5D0A"/>
    <w:rsid w:val="004C2FC1"/>
    <w:rsid w:val="00624981"/>
    <w:rsid w:val="0064620F"/>
    <w:rsid w:val="006E668C"/>
    <w:rsid w:val="00784E73"/>
    <w:rsid w:val="007A7023"/>
    <w:rsid w:val="009F58DF"/>
    <w:rsid w:val="00A33174"/>
    <w:rsid w:val="00A8264E"/>
    <w:rsid w:val="00AB5AE5"/>
    <w:rsid w:val="00CC7AE4"/>
    <w:rsid w:val="00D35C66"/>
    <w:rsid w:val="00DE5AD6"/>
    <w:rsid w:val="00EE1A1E"/>
    <w:rsid w:val="00F01CCD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F75A3-4696-49B8-BE84-5F8A9AE5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6</cp:revision>
  <dcterms:created xsi:type="dcterms:W3CDTF">2015-02-22T21:12:00Z</dcterms:created>
  <dcterms:modified xsi:type="dcterms:W3CDTF">2015-02-22T22:48:00Z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